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4E968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kern w:val="2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kern w:val="2"/>
          <w:sz w:val="36"/>
          <w:szCs w:val="36"/>
          <w:lang w:val="en-US" w:eastAsia="zh-CN"/>
        </w:rPr>
        <w:t>抚州市立医院自助设备软硬件维保</w:t>
      </w:r>
    </w:p>
    <w:p w14:paraId="553DCD9A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/>
        </w:rPr>
        <w:t>详细位置分布</w:t>
      </w:r>
    </w:p>
    <w:tbl>
      <w:tblPr>
        <w:tblStyle w:val="4"/>
        <w:tblpPr w:leftFromText="180" w:rightFromText="180" w:vertAnchor="text" w:horzAnchor="page" w:tblpX="2364" w:tblpY="84"/>
        <w:tblOverlap w:val="never"/>
        <w:tblW w:w="73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545"/>
        <w:gridCol w:w="1410"/>
        <w:gridCol w:w="1365"/>
        <w:gridCol w:w="1365"/>
      </w:tblGrid>
      <w:tr w14:paraId="06A6C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5E6F7">
            <w:pPr>
              <w:spacing w:line="360" w:lineRule="auto"/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位置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72F2">
            <w:pPr>
              <w:spacing w:line="360" w:lineRule="auto"/>
              <w:ind w:firstLine="482" w:firstLineChars="200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豪华机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5B83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大屏机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59EE">
            <w:pPr>
              <w:spacing w:line="36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壁挂机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9192">
            <w:pPr>
              <w:spacing w:line="360" w:lineRule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使用年限</w:t>
            </w:r>
          </w:p>
        </w:tc>
      </w:tr>
      <w:tr w14:paraId="47C37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3DD4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发热门诊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A9F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58B6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01A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0531">
            <w:pPr>
              <w:spacing w:line="360" w:lineRule="auto"/>
              <w:ind w:firstLine="480" w:firstLineChars="20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35708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C015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内科病区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0C8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6ACB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C3D7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7FE9E">
            <w:pPr>
              <w:spacing w:line="360" w:lineRule="auto"/>
              <w:ind w:firstLine="480" w:firstLineChars="20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6320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6008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门诊1楼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C29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1A0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901A">
            <w:pPr>
              <w:spacing w:line="360" w:lineRule="auto"/>
              <w:ind w:firstLine="480" w:firstLineChars="20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B13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23F0D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8DA3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门诊2楼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7FF9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D99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A47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7C1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07E24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E39B4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门诊3楼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30F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973F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53DF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32EE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0AF5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5C8E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门诊4楼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B27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DF1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9672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9A3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5938D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2CE0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门诊5楼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F808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6F77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106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E97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5584A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4513D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门诊6楼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E8B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1FF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D34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337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0100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958A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门诊8楼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3E5D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6C44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3EE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0D9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10F7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48EA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门诊9楼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823B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178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A2BC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813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3697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0FDB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门诊11楼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020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\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E0F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E9C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B7B4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5年</w:t>
            </w:r>
          </w:p>
        </w:tc>
      </w:tr>
      <w:tr w14:paraId="06B74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B81DF"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剩余仓库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92A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87D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449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6CDBD">
            <w:pPr>
              <w:spacing w:line="360" w:lineRule="auto"/>
              <w:ind w:firstLine="480" w:firstLineChars="20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 w14:paraId="4D3FAF3A">
      <w:pPr>
        <w:numPr>
          <w:ilvl w:val="0"/>
          <w:numId w:val="0"/>
        </w:numPr>
        <w:spacing w:line="360" w:lineRule="auto"/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/>
        </w:rPr>
      </w:pPr>
    </w:p>
    <w:p w14:paraId="77E31A32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/>
        </w:rPr>
        <w:t>软件升级</w:t>
      </w:r>
    </w:p>
    <w:p w14:paraId="3C82D4AA">
      <w:pPr>
        <w:pStyle w:val="2"/>
        <w:rPr>
          <w:rFonts w:hint="default" w:ascii="仿宋" w:hAnsi="仿宋" w:eastAsia="仿宋" w:cs="仿宋"/>
          <w:color w:val="auto"/>
          <w:kern w:val="0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u w:val="none"/>
          <w:lang w:val="en-US" w:eastAsia="zh-CN" w:bidi="ar-SA"/>
        </w:rPr>
        <w:t>现有存量自助设备需统一将软件升级至新设备同一版本。</w:t>
      </w:r>
      <w:bookmarkStart w:id="1" w:name="_GoBack"/>
      <w:bookmarkEnd w:id="1"/>
    </w:p>
    <w:p w14:paraId="67012A0B">
      <w:pPr>
        <w:numPr>
          <w:ilvl w:val="0"/>
          <w:numId w:val="2"/>
        </w:numPr>
        <w:spacing w:line="360" w:lineRule="auto"/>
        <w:ind w:left="0" w:leftChars="0" w:firstLine="420" w:firstLineChars="0"/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Hans"/>
        </w:rPr>
        <w:t>维保服务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/>
        </w:rPr>
        <w:t>要求</w:t>
      </w:r>
    </w:p>
    <w:p w14:paraId="3E7F24A1">
      <w:pPr>
        <w:pStyle w:val="3"/>
        <w:numPr>
          <w:ilvl w:val="0"/>
          <w:numId w:val="3"/>
        </w:numPr>
        <w:spacing w:before="0" w:after="0"/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医院终端硬件方面维保服务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要求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2914"/>
        <w:gridCol w:w="3723"/>
      </w:tblGrid>
      <w:tr w14:paraId="5B36F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328142B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模块名称</w:t>
            </w:r>
          </w:p>
        </w:tc>
        <w:tc>
          <w:tcPr>
            <w:tcW w:w="17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6BE724A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维护条目</w:t>
            </w:r>
          </w:p>
        </w:tc>
        <w:tc>
          <w:tcPr>
            <w:tcW w:w="21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vAlign w:val="center"/>
          </w:tcPr>
          <w:p w14:paraId="059C1441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处理办法介绍</w:t>
            </w:r>
          </w:p>
        </w:tc>
      </w:tr>
      <w:tr w14:paraId="74C7E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4A8A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触摸显示器</w:t>
            </w: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970F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1.点击触摸屏没有反应。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0ADB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1.检查触摸屏驱动程序中选的串口和实际连接的串口是否一致，如不一致请更换串口；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2.如果灰尘较多也会影响触摸屏使用，可用柔软的抹布清除触摸屏表面上的灰尘。</w:t>
            </w:r>
          </w:p>
        </w:tc>
      </w:tr>
      <w:tr w14:paraId="38BE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974D7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14BA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2.点击时光标不随点移动。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2179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退出终端软件，从操作系统中运行触摸屏校准程序，校准触摸屏。</w:t>
            </w:r>
          </w:p>
        </w:tc>
      </w:tr>
      <w:tr w14:paraId="658C1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11AE7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635A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3.开机后屏幕没有显示，指示灯不亮。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F976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检查终端是否有电，液晶显示器的电源线是否接好。</w:t>
            </w:r>
          </w:p>
        </w:tc>
      </w:tr>
      <w:tr w14:paraId="05329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8A47D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1F18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4.开机后黑屏，屏幕提示没有信号输入，背面指示灯亮红色，有操作系统启动的音乐。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5485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1.检查显示屏信号线是否接好，可重新连接或更换信号线。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2.如果是远程连接后黑屏，可工控机外接键盘，按ctrl+alt+F1进行切换；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3.更换到工控机下方vga口，但连接下方的vga口，显示屏的亮度会暗一些。</w:t>
            </w:r>
          </w:p>
        </w:tc>
      </w:tr>
      <w:tr w14:paraId="74D90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5D251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58F5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5.可以正常开机启动，显示器模糊不清或者颜色不正常。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7D0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检查数据线是否接好，重新连接或更换数据线，如果不行，需要更换触摸显示屏。</w:t>
            </w:r>
          </w:p>
        </w:tc>
      </w:tr>
      <w:tr w14:paraId="61E36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F7D7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24BB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6.清洁表面灰尘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E626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2月一次</w:t>
            </w:r>
          </w:p>
        </w:tc>
      </w:tr>
      <w:tr w14:paraId="2843A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0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B1AF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凭条打印机</w:t>
            </w: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BE40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1.不能打印，打印机的绿灯常亮。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6BF0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1.检查打印机连接串口线与系统中的端口设置是否一致；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2.更换连接主机的串口，需更新配置文件；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3.更换数据线或更换打印机。</w:t>
            </w:r>
          </w:p>
        </w:tc>
      </w:tr>
      <w:tr w14:paraId="6EB99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3BAD9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A38B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2.不能打印，打印机的绿灯闪烁。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3C90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1.检查串口线和电源线连接情况；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2.检查打印机主板各连接线是否正常连接；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3.更换数据线或更换打印机。</w:t>
            </w:r>
          </w:p>
        </w:tc>
      </w:tr>
      <w:tr w14:paraId="41FAB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1EE2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0295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3.不能打印，打印机的绿灯不亮。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C9CB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1.检查终端是否有电，检查打印机电源线是否连接正确；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2.更换电源线，或更换打印机。</w:t>
            </w:r>
          </w:p>
        </w:tc>
      </w:tr>
      <w:tr w14:paraId="48859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80DB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5307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4.打印乱码或模糊不清。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A3C0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1.清洁打印头，或者更换打印机</w:t>
            </w:r>
          </w:p>
        </w:tc>
      </w:tr>
      <w:tr w14:paraId="5EDA7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F2544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B741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5.打印卡纸，凭条卡在打印头里。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CE2C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关掉打印机电源，按下绿色扳手打开打印头，将卡纸取出，抬起绿色扳手，打开打印机电源，重新上纸并沿切刀把纸撕齐。</w:t>
            </w:r>
          </w:p>
        </w:tc>
      </w:tr>
      <w:tr w14:paraId="147A7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6E4E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989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6.打印机绿灯常量，红色缺纸灯亮。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C74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打印机缺纸，关掉打印电源，按下绿色扳手打开打印头，将剩余的纸取出，抬起绿色扳手，打开打印机电源，重新装上新纸卷并沿切刀把纸撕齐。</w:t>
            </w:r>
          </w:p>
        </w:tc>
      </w:tr>
      <w:tr w14:paraId="72226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FE3A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CB13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7.清理设备（清理纸屑、灰尘等）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148C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2次/月</w:t>
            </w:r>
          </w:p>
        </w:tc>
      </w:tr>
      <w:tr w14:paraId="2AB8E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5CA4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工控机</w:t>
            </w: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F3B4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1.开机没上电，没有自检音，指示灯不亮。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4B93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检查插座是否有电；终端电源开关是否打开；检查工控机电源线是否连接好；检测电源箱或者电源模块是否有电。</w:t>
            </w:r>
          </w:p>
        </w:tc>
      </w:tr>
      <w:tr w14:paraId="23926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FF5C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C258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2.操作系统不能启动或开机后死机、报丢失文件。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0E47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重装系统；或更换硬盘。</w:t>
            </w:r>
          </w:p>
        </w:tc>
      </w:tr>
      <w:tr w14:paraId="26545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B69A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C03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3.开机后工控机找不到硬盘，电源灯亮。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8509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需要更换硬盘。</w:t>
            </w:r>
          </w:p>
        </w:tc>
      </w:tr>
      <w:tr w14:paraId="162C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7B57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4800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4.开机后黑屏，屏幕背面指示灯不亮，有操作系统启动的音乐。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DE7F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检测工控机上显示屏电源电压是否是12V，如果电压不稳，将显示屏电源线连接到电源模块12V输出口上。</w:t>
            </w:r>
          </w:p>
        </w:tc>
      </w:tr>
      <w:tr w14:paraId="3C6DC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66CA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读卡器等设备</w:t>
            </w: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E8AD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1.开机后设备没有电，电源指示灯或者工作指示灯不亮。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742C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检查终端是否有电，检查设备电源线是否连接正确，重新连接或者更换设备的电源线。</w:t>
            </w:r>
          </w:p>
        </w:tc>
      </w:tr>
      <w:tr w14:paraId="1E23E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7A3E9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B775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2.不能初始化，或者用硬件测试程序“打开设备失败”、“设备初始化失败”。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4335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检查设备的数据线连接的串口是否正确，重新连接或者更换设备的数据线。</w:t>
            </w:r>
          </w:p>
        </w:tc>
      </w:tr>
      <w:tr w14:paraId="3850B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694C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2337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3.设备有电，但不执行操作，比如读卡器不进卡或不读卡。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E553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1.检查数据线连接情况，按原厂要求清洁设备；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2.首先观察卡器内是否有异物，如果是诊疗卡、银行卡可以采取转动右侧滚轮的方式取出，如果是其它异物靠这种方式无法取出，可用曲别针等将异物取出；</w:t>
            </w:r>
          </w:p>
        </w:tc>
      </w:tr>
      <w:tr w14:paraId="5443E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E79F7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20D1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4.设备吞卡。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F7E7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给设备断电并重新上电，设备可将吞的卡片吐出，或者打开终端上盖，从卡器后端取出卡片。</w:t>
            </w:r>
          </w:p>
        </w:tc>
      </w:tr>
      <w:tr w14:paraId="50AFF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5F7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C2B1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5.卡道和磁头的清洁，用蘸有酒精的清洁卡插入读卡器然后“前持卡和后持卡”，反复循环5 次再“前退卡”，这样就能将磁头和卡道内的污物清洁干净。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1B721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2次/月</w:t>
            </w:r>
          </w:p>
        </w:tc>
      </w:tr>
      <w:tr w14:paraId="25725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0DE33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激光打印机</w:t>
            </w: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B240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1.不能打印，打印机上横向指示灯左边第一个错误灯（感叹号）亮。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9AEE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请检查打印机内部成像套件、墨盒是否放置正确，前部盖门是否关好，再按右侧菱形按钮对打印机进行初始化。</w:t>
            </w:r>
          </w:p>
        </w:tc>
      </w:tr>
      <w:tr w14:paraId="25C09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7C410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7D55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2.不能打印，打印机上横向指示灯左边第二个卡纸灯亮。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EDEA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取出墨盒、成像套件，或拉开进纸匣，查看是否有卡纸，取出卡纸后再按右侧菱形按钮对打印机进行初始化。</w:t>
            </w:r>
          </w:p>
        </w:tc>
      </w:tr>
      <w:tr w14:paraId="6E32A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2ED88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B95A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3.不能打印，打印机上横向指示灯左边第三个指示灯亮。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4CB4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打印机缺纸，拉开进纸匣进行上纸。</w:t>
            </w:r>
          </w:p>
        </w:tc>
      </w:tr>
      <w:tr w14:paraId="23B1C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FAAB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9228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4.不能打印，打印机上横向指示灯左边第四个指示灯亮。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31F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碳粉不足，需要更换墨盒；或者成像部件需要更换，更换新耗材后，再按右侧菱形按钮对打印机进行初始化。</w:t>
            </w:r>
          </w:p>
        </w:tc>
      </w:tr>
      <w:tr w14:paraId="13C55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5763ED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882E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5.不能打印，打印机上横向指示灯左边第五个指示灯一直闪烁，超过5分钟。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8C56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打印机初始化不成功，请关闭打印机电源开关，检查打印机内部成像套件、墨盒是否放置正确，前部盖门是否关好，确认无误后重新打开电源开关。</w:t>
            </w:r>
          </w:p>
        </w:tc>
      </w:tr>
      <w:tr w14:paraId="1C1CC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73C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696A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6.清理设备（清理纸屑、灰尘、墨粉等）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ADCE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2次/月</w:t>
            </w:r>
          </w:p>
        </w:tc>
      </w:tr>
      <w:tr w14:paraId="4D061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A5439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终端软件无法启动</w:t>
            </w: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64E4A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软件启动界面上提示某个设备异常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DEAA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对应查看该设备的电源线、数据线连接是否正确，如果是打印机异常，可检查一下是否缺纸、卡纸等，也可尝试关闭主机，再关闭终端电源箱开关，放置十分钟再开机试试。</w:t>
            </w:r>
          </w:p>
        </w:tc>
      </w:tr>
      <w:tr w14:paraId="487E5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0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3A64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0F8E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如果软件启动很长时间，启动界面一直显示正在启动，但最终软件未起来退回操作系统的桌面。</w:t>
            </w:r>
          </w:p>
        </w:tc>
        <w:tc>
          <w:tcPr>
            <w:tcW w:w="21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BEE0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可以判断是未连上服务器，有可能是网络问题，也可能是网线连接不正常，请确认医院网络是否正常，终端与服务器是否正常连接。</w:t>
            </w:r>
          </w:p>
        </w:tc>
      </w:tr>
      <w:tr w14:paraId="057BE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D370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机壳</w:t>
            </w:r>
          </w:p>
        </w:tc>
        <w:tc>
          <w:tcPr>
            <w:tcW w:w="17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3A536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清洁表面灰尘</w:t>
            </w:r>
          </w:p>
        </w:tc>
        <w:tc>
          <w:tcPr>
            <w:tcW w:w="21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B34EF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1次/季度</w:t>
            </w:r>
          </w:p>
        </w:tc>
      </w:tr>
      <w:tr w14:paraId="65BEC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0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0454CC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软件开发要求</w:t>
            </w:r>
          </w:p>
        </w:tc>
        <w:tc>
          <w:tcPr>
            <w:tcW w:w="3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CF277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及时解决日常使用时产生的BUG，对账，退费等保证自助软件平稳运行</w:t>
            </w:r>
          </w:p>
        </w:tc>
      </w:tr>
      <w:tr w14:paraId="1E455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0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C021B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2339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具备在现有系统上进行二次开发，升级能力</w:t>
            </w:r>
          </w:p>
        </w:tc>
      </w:tr>
      <w:tr w14:paraId="6ED31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2F4D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异常订单处理</w:t>
            </w:r>
          </w:p>
        </w:tc>
        <w:tc>
          <w:tcPr>
            <w:tcW w:w="3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0E55E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及时处理自助终端产生的异常订单，及时配合财务进行调账</w:t>
            </w:r>
          </w:p>
        </w:tc>
      </w:tr>
      <w:tr w14:paraId="56882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1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D7E08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账务处理</w:t>
            </w:r>
          </w:p>
        </w:tc>
        <w:tc>
          <w:tcPr>
            <w:tcW w:w="3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0AAF2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及时核对账务，对异常账务进行处理</w:t>
            </w:r>
          </w:p>
        </w:tc>
      </w:tr>
    </w:tbl>
    <w:p w14:paraId="62D2E8AD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每周进行一次设备日常巡检。每月进行一次彻底完善的巡检，即各部件的使用性能检测。</w:t>
      </w:r>
    </w:p>
    <w:p w14:paraId="62B4B540">
      <w:pPr>
        <w:spacing w:line="360" w:lineRule="auto"/>
        <w:ind w:firstLine="420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具体巡检制度包括：</w:t>
      </w:r>
    </w:p>
    <w:p w14:paraId="3F8CA23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●根据设备使用状况和环境特点制定预防性维护方案，包括内容、方式和时间等。</w:t>
      </w:r>
    </w:p>
    <w:p w14:paraId="728087AA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●各硬件系统部件的定期保养。</w:t>
      </w:r>
    </w:p>
    <w:p w14:paraId="37D5EFA0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●分析机器的错误记录,检查需要维护的模块。</w:t>
      </w:r>
    </w:p>
    <w:p w14:paraId="67E8CA0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●清洁印刷电路板,对包括电源,功能模块区域进行除尘；检查各校位置并清洁所有传感器和发光管。</w:t>
      </w:r>
    </w:p>
    <w:p w14:paraId="61B20B4A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●机器模块的润滑。</w:t>
      </w:r>
    </w:p>
    <w:p w14:paraId="109C994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●对机械模块进行调校。</w:t>
      </w:r>
    </w:p>
    <w:p w14:paraId="5B16E98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●更换故障或老化的部件、模块。</w:t>
      </w:r>
    </w:p>
    <w:p w14:paraId="3B23D1F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●操作使用环境的复核确认。</w:t>
      </w:r>
    </w:p>
    <w:p w14:paraId="7ABC6F56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●软件系统的优化。</w:t>
      </w:r>
    </w:p>
    <w:p w14:paraId="13B150C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●每次巡检完后，为客户提供设备使用环境和日常维护的改善建议,提高设备使用寿命。</w:t>
      </w:r>
    </w:p>
    <w:p w14:paraId="38C00720">
      <w:pPr>
        <w:pStyle w:val="3"/>
        <w:numPr>
          <w:ilvl w:val="0"/>
          <w:numId w:val="3"/>
        </w:numPr>
        <w:spacing w:before="0" w:after="0"/>
        <w:ind w:left="0" w:leftChars="0"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Toc180037475"/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医院终端软件方面维保服务</w:t>
      </w:r>
      <w:bookmarkEnd w:id="0"/>
      <w:r>
        <w:rPr>
          <w:rFonts w:hint="eastAsia" w:ascii="宋体" w:hAnsi="宋体" w:cs="宋体"/>
          <w:sz w:val="24"/>
          <w:szCs w:val="24"/>
          <w:lang w:val="en-US" w:eastAsia="zh-CN"/>
        </w:rPr>
        <w:t>要求</w:t>
      </w:r>
    </w:p>
    <w:p w14:paraId="18543E17">
      <w:p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包括但不限于以下几方面：</w:t>
      </w:r>
    </w:p>
    <w:p w14:paraId="76AE6C67">
      <w:pPr>
        <w:numPr>
          <w:ilvl w:val="0"/>
          <w:numId w:val="4"/>
        </w:numPr>
        <w:spacing w:line="360" w:lineRule="auto"/>
        <w:ind w:firstLine="480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在自助终端软件方面，及时解决日常使用时产生的BUG，保证自助软件，管理平台平稳运行；</w:t>
      </w:r>
    </w:p>
    <w:p w14:paraId="63A47E2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2、自助系统软件和管理平台根据医院要求进行流程优化时，需具备在现有系统上进行二次开发，升级能力（费用需根据定制内容评估工作量进行报价）；</w:t>
      </w:r>
    </w:p>
    <w:p w14:paraId="6073A58C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3、及时处理自助终端产生的异常订单；及时与医院业务系统配合查找异常订单原因；</w:t>
      </w:r>
    </w:p>
    <w:p w14:paraId="1648525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具备</w:t>
      </w:r>
      <w:r>
        <w:rPr>
          <w:rFonts w:hint="eastAsia" w:ascii="仿宋" w:hAnsi="仿宋" w:eastAsia="仿宋" w:cs="仿宋"/>
          <w:sz w:val="24"/>
          <w:szCs w:val="24"/>
        </w:rPr>
        <w:t>响应自助系统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和管理平台响应各方</w:t>
      </w:r>
      <w:r>
        <w:rPr>
          <w:rFonts w:hint="eastAsia" w:ascii="仿宋" w:hAnsi="仿宋" w:eastAsia="仿宋" w:cs="仿宋"/>
          <w:sz w:val="24"/>
          <w:szCs w:val="24"/>
        </w:rPr>
        <w:t>政策调整产生的业务升级和流程优化的能力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费用需根据定制内容评估工作量进行报价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</w:p>
    <w:p w14:paraId="4F855245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对院方提出的政策性系统功能要求或接口，对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自助服务系统进行接口开发或改造。</w:t>
      </w:r>
    </w:p>
    <w:p w14:paraId="2931333C">
      <w:pPr>
        <w:numPr>
          <w:ilvl w:val="0"/>
          <w:numId w:val="0"/>
        </w:numPr>
        <w:spacing w:line="360" w:lineRule="auto"/>
        <w:ind w:left="420" w:leftChars="0"/>
        <w:rPr>
          <w:rFonts w:hint="default" w:ascii="仿宋" w:hAnsi="仿宋" w:eastAsia="仿宋" w:cs="仿宋"/>
          <w:b/>
          <w:bCs/>
          <w:kern w:val="2"/>
          <w:sz w:val="28"/>
          <w:szCs w:val="28"/>
          <w:lang w:val="en-US" w:eastAsia="zh-CN"/>
        </w:rPr>
      </w:pPr>
    </w:p>
    <w:p w14:paraId="25704FFF">
      <w:pPr>
        <w:rPr>
          <w:rFonts w:hint="eastAsia"/>
          <w:lang w:val="en-US" w:eastAsia="zh-CN"/>
        </w:rPr>
      </w:pPr>
    </w:p>
    <w:p w14:paraId="32408355"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06935D"/>
    <w:multiLevelType w:val="singleLevel"/>
    <w:tmpl w:val="B206935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D874DCF"/>
    <w:multiLevelType w:val="singleLevel"/>
    <w:tmpl w:val="0D874DCF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14F533D4"/>
    <w:multiLevelType w:val="singleLevel"/>
    <w:tmpl w:val="14F533D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4FC17B8"/>
    <w:multiLevelType w:val="multilevel"/>
    <w:tmpl w:val="24FC17B8"/>
    <w:lvl w:ilvl="0" w:tentative="0">
      <w:start w:val="1"/>
      <w:numFmt w:val="decimal"/>
      <w:lvlText w:val="%1"/>
      <w:lvlJc w:val="left"/>
      <w:pPr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 w:ascii="宋体" w:hAnsi="宋体" w:eastAsia="宋体"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 w:ascii="宋体" w:hAnsi="宋体" w:eastAsia="宋体" w:cs="宋体"/>
        <w:b/>
        <w:bCs/>
        <w:sz w:val="30"/>
        <w:szCs w:val="30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default" w:ascii="宋体" w:hAnsi="宋体" w:eastAsia="宋体" w:cs="宋体"/>
        <w:b/>
        <w:bCs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577A6"/>
    <w:rsid w:val="02B726F0"/>
    <w:rsid w:val="0E214D46"/>
    <w:rsid w:val="10C2298C"/>
    <w:rsid w:val="12F577A6"/>
    <w:rsid w:val="16377978"/>
    <w:rsid w:val="16F855F9"/>
    <w:rsid w:val="21CD73E2"/>
    <w:rsid w:val="26B66697"/>
    <w:rsid w:val="287516A9"/>
    <w:rsid w:val="33FD3B57"/>
    <w:rsid w:val="36023292"/>
    <w:rsid w:val="3B1A4F8F"/>
    <w:rsid w:val="41FB0520"/>
    <w:rsid w:val="4EA647B1"/>
    <w:rsid w:val="523E1FFD"/>
    <w:rsid w:val="583A23D4"/>
    <w:rsid w:val="61444B91"/>
    <w:rsid w:val="68040F5A"/>
    <w:rsid w:val="68642AB2"/>
    <w:rsid w:val="6E5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Songti SC"/>
      <w:color w:val="auto"/>
      <w:kern w:val="0"/>
      <w:sz w:val="20"/>
      <w:szCs w:val="20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9"/>
    <w:pPr>
      <w:numPr>
        <w:ilvl w:val="2"/>
        <w:numId w:val="1"/>
      </w:numPr>
      <w:spacing w:before="270" w:after="270"/>
      <w:outlineLvl w:val="2"/>
    </w:pPr>
    <w:rPr>
      <w:rFonts w:ascii="Times New Roman" w:hAnsi="Times New Roman" w:cs="宋体"/>
      <w:b/>
      <w:sz w:val="32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99"/>
    <w:pPr>
      <w:spacing w:before="120" w:after="120"/>
      <w:jc w:val="left"/>
    </w:pPr>
    <w:rPr>
      <w:rFonts w:ascii="Calibri" w:hAnsi="Calibri" w:cs="Calibri"/>
      <w:sz w:val="20"/>
      <w:szCs w:val="20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2744</Words>
  <Characters>2812</Characters>
  <Lines>0</Lines>
  <Paragraphs>0</Paragraphs>
  <TotalTime>8</TotalTime>
  <ScaleCrop>false</ScaleCrop>
  <LinksUpToDate>false</LinksUpToDate>
  <CharactersWithSpaces>2816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2026-08-06T09:37:00Z</dcterms:created>
  <dc:creator>知行合一</dc:creator>
  <cp:lastModifiedBy>知行合一</cp:lastModifiedBy>
  <cp:lastPrinted>2026-08-07T08:03:00Z</cp:lastPrinted>
  <dcterms:modified xsi:type="dcterms:W3CDTF">2026-08-07T09:15:35Z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81C931A32A4F4DB48BC2A7D78F1F5886_11</vt:lpwstr>
  </property>
  <property fmtid="{D5CDD505-2E9C-101B-9397-08002B2CF9AE}" pid="4" name="KSOTemplateDocerSaveRecord">
    <vt:lpwstr>eyJoZGlkIjoiMzI0MzRiNmI0ZTY2ZmI3MDMxMzMzNWMyNmNjNmQ1N2QiLCJ1c2VySWQiOiI2MTk4NTY3MTEifQ==</vt:lpwstr>
  </property>
</Properties>
</file>