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2FF91">
      <w:pPr>
        <w:rPr>
          <w:rFonts w:hint="eastAsia"/>
          <w:sz w:val="32"/>
          <w:szCs w:val="40"/>
          <w:lang w:val="en-US" w:eastAsia="zh-CN"/>
        </w:rPr>
      </w:pPr>
      <w:r>
        <w:rPr>
          <w:rFonts w:hint="eastAsia"/>
          <w:sz w:val="32"/>
          <w:szCs w:val="40"/>
          <w:lang w:val="en-US" w:eastAsia="zh-CN"/>
        </w:rPr>
        <w:t>附件：</w:t>
      </w:r>
    </w:p>
    <w:p w14:paraId="06726C91">
      <w:pPr>
        <w:jc w:val="center"/>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系统具体需求</w:t>
      </w:r>
    </w:p>
    <w:p w14:paraId="111117E3">
      <w:pPr>
        <w:ind w:left="0" w:leftChars="0"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1、目录对照信息异常提醒</w:t>
      </w:r>
    </w:p>
    <w:p w14:paraId="567775F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定时同步医院目录和医保目录的对照关系，包括医院项目编码，医院项目名称，中心</w:t>
      </w:r>
      <w:bookmarkStart w:id="0" w:name="_GoBack"/>
      <w:bookmarkEnd w:id="0"/>
      <w:r>
        <w:rPr>
          <w:rFonts w:hint="eastAsia" w:ascii="仿宋_GB2312" w:hAnsi="仿宋_GB2312" w:eastAsia="仿宋_GB2312" w:cs="仿宋_GB2312"/>
          <w:sz w:val="32"/>
          <w:szCs w:val="32"/>
          <w:lang w:val="en-US" w:eastAsia="zh-CN"/>
        </w:rPr>
        <w:t>项目编码，中心项目名称。医保科可以对现有的对照关系进行审核，给出审核结果及意见。</w:t>
      </w:r>
    </w:p>
    <w:p w14:paraId="73387BFE">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2、诊疗行为实时提醒</w:t>
      </w:r>
    </w:p>
    <w:p w14:paraId="6D82642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针对患者参保类型（医保、自费均可）、诊疗信息、执行明细、收费信息等，进行实时合规审核。审核规则遵循医保政策、国家临床诊疗规范等多元要求，审核内容对门诊和住院均适用，医护人员对违规单据可进行实时处理;</w:t>
      </w:r>
    </w:p>
    <w:p w14:paraId="6CD027C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住院医生：除满足①之外，还应根据病人基本信息（性别、年龄、是否孕期、是否哺乳期、过敏史等）以及诊断、检查/检验、手术以及医院配置的临床审核规则等信息，对医生所开具的病人用药医嘱进行综合合理用药异常审核和安全检查。</w:t>
      </w:r>
    </w:p>
    <w:p w14:paraId="1A8F1988">
      <w:pPr>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rPr>
        <w:t>慢</w:t>
      </w:r>
      <w:r>
        <w:rPr>
          <w:rFonts w:hint="eastAsia" w:ascii="仿宋_GB2312" w:hAnsi="仿宋_GB2312" w:eastAsia="仿宋_GB2312" w:cs="仿宋_GB2312"/>
          <w:b/>
          <w:bCs/>
          <w:color w:val="auto"/>
          <w:sz w:val="32"/>
          <w:szCs w:val="32"/>
          <w:lang w:val="en-US" w:eastAsia="zh-CN"/>
        </w:rPr>
        <w:t>特</w:t>
      </w:r>
      <w:r>
        <w:rPr>
          <w:rFonts w:hint="eastAsia" w:ascii="仿宋_GB2312" w:hAnsi="仿宋_GB2312" w:eastAsia="仿宋_GB2312" w:cs="仿宋_GB2312"/>
          <w:b/>
          <w:bCs/>
          <w:color w:val="auto"/>
          <w:sz w:val="32"/>
          <w:szCs w:val="32"/>
        </w:rPr>
        <w:t>病管理</w:t>
      </w:r>
      <w:r>
        <w:rPr>
          <w:rFonts w:hint="eastAsia" w:ascii="仿宋_GB2312" w:hAnsi="仿宋_GB2312" w:eastAsia="仿宋_GB2312" w:cs="仿宋_GB2312"/>
          <w:b/>
          <w:bCs/>
          <w:color w:val="auto"/>
          <w:sz w:val="32"/>
          <w:szCs w:val="32"/>
          <w:lang w:val="en-US" w:eastAsia="zh-CN"/>
        </w:rPr>
        <w:t>系统</w:t>
      </w:r>
    </w:p>
    <w:p w14:paraId="4700B11C">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（1）维护慢特病病种信息及规范诊疗信息</w:t>
      </w:r>
    </w:p>
    <w:p w14:paraId="7B199342">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（2）维护慢特病患者及慢特病病种管理</w:t>
      </w:r>
    </w:p>
    <w:p w14:paraId="5E9DBB1E">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（3）对慢特病患者的诊疗行为进行智能审核提醒</w:t>
      </w:r>
    </w:p>
    <w:p w14:paraId="79D73615">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color w:val="auto"/>
          <w:sz w:val="32"/>
          <w:szCs w:val="32"/>
          <w:lang w:val="en-US" w:eastAsia="zh-CN"/>
        </w:rPr>
        <w:t>（4）对慢特病患者的费用进行统计汇总及分析，对超范围用药、超限额等进行统计。</w:t>
      </w:r>
    </w:p>
    <w:p w14:paraId="0CA1905E">
      <w:pPr>
        <w:numPr>
          <w:ilvl w:val="0"/>
          <w:numId w:val="1"/>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数据检测</w:t>
      </w:r>
    </w:p>
    <w:p w14:paraId="520C4BBB">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做好两库管理，并根据医保政策及时更新，包括但不限于下列内容。</w:t>
      </w:r>
    </w:p>
    <w:p w14:paraId="53C9B7F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知识库：医保三大目录（药品、耗材、诊疗项目）项目名称、支付类别及项目编码，ICD-10医保版、国临版2.0，ICD-9-CM3 医保版、国临版3.0。</w:t>
      </w:r>
    </w:p>
    <w:p w14:paraId="65F1A80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规则库：主要包含医保药品规则、诊疗项目规则、医用材料规则等。规则细类设计可以包含但不仅限于以下分类：</w:t>
      </w:r>
    </w:p>
    <w:p w14:paraId="4A51013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复用药;(2)重复收费;(3)不合理转院;(4)不合理入院;(5)门诊频次异常;(6)药品超量;(7)中药饮片审核;(8)用药安全审核;(9)超临床常规治疗频次;(10)非基本医疗保险目录;(11)限定性别审核;(12)限儿童;(13)超限定数量;(14)超限定价格（包括全自费占比）;(15)限定医院类型级别;(16)限定就医方式;(18)超限定频次;(19)违反项目匹配;(20)违反限定适应症(条件)用药;(21)中成药联合使用审核;(22)阶梯用药审核；（23）药品、耗材数量管理等等。</w:t>
      </w:r>
    </w:p>
    <w:p w14:paraId="49918E0B">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5、单据查询</w:t>
      </w:r>
    </w:p>
    <w:p w14:paraId="5998426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①用户管理：可以通过对新增、修改、删除等功能按钮或菜单权限分配及角色分组、科室权限分配对用户进行基本操作权限管理。</w:t>
      </w:r>
    </w:p>
    <w:p w14:paraId="5FC019E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②科室管理：可以通过检索条件区域的科室名称进行检索，并通过导入区域进行科室数据导入操作。</w:t>
      </w:r>
    </w:p>
    <w:p w14:paraId="21C2C77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单据查询主要为医院管理者提供决策支持辅助，系统支持对已审核的所有单据进行信息查询，并支持查看单据的费用明细，实现从参保类型、就医方式、住院状态、人员类别、科室、医生、参保人、单据号等角度进行单项定义或综合查询。</w:t>
      </w:r>
    </w:p>
    <w:p w14:paraId="0B307FA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④管理者通过查询某患者在院期间所有历史数据以及违规数据，可以跟踪分析医生的诊疗行为，及时发现不合理用药、不合理检查、不合理收费行为，实现对异常违规信息的全方面监控。</w:t>
      </w:r>
    </w:p>
    <w:p w14:paraId="18EB3C05">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6、统计分析</w:t>
      </w:r>
    </w:p>
    <w:p w14:paraId="473029B2">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医审数据分析系统</w:t>
      </w:r>
      <w:r>
        <w:rPr>
          <w:rFonts w:hint="eastAsia" w:ascii="仿宋_GB2312" w:hAnsi="仿宋_GB2312" w:eastAsia="仿宋_GB2312" w:cs="仿宋_GB2312"/>
          <w:sz w:val="32"/>
          <w:szCs w:val="32"/>
          <w:lang w:eastAsia="zh-CN"/>
        </w:rPr>
        <w:t>：</w:t>
      </w:r>
    </w:p>
    <w:p w14:paraId="2E43C55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（1）提供业务分析及违规单量统计功能，通过选定时间范围内，对总体业务、科室业务等维度进行钻取，分析医院和科室诊间审核的总体情况和违规情况；</w:t>
      </w:r>
    </w:p>
    <w:p w14:paraId="4781B89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提供灵活的违规项目查询、违规项目分析及违规规则分析功能。支持查询选定时间范围内所有的违规单据项目信息，并从违规项目和违规规则角度进行汇总分析，为医院对审核中存在的问题进行针对性地改善和提高提供数据依据。</w:t>
      </w:r>
    </w:p>
    <w:p w14:paraId="0190E73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基金的消耗统计：</w:t>
      </w:r>
    </w:p>
    <w:p w14:paraId="0B6B351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（1）接入最新医保政策文件（如支付标准、限额规定、病种分值），为基金消耗分析提供政策依据。</w:t>
      </w:r>
    </w:p>
    <w:p w14:paraId="2DF258A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（2）关联HIS系统中的诊疗数据，将医保基金消耗与具体患者、诊疗项目（如药品、检查、手术）、科室进行对应，明确基金使用场景。</w:t>
      </w:r>
    </w:p>
    <w:p w14:paraId="79C9A44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（3）结合科室业务量（如出院人次、手术台次），计算单位业务量基金消耗指标（如单病例医保支出、单床日基金费用），评估基金使用效率。</w:t>
      </w:r>
    </w:p>
    <w:p w14:paraId="5A380B99">
      <w:pPr>
        <w:ind w:firstLine="643" w:firstLineChars="200"/>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7、功能描述</w:t>
      </w:r>
    </w:p>
    <w:tbl>
      <w:tblPr>
        <w:tblStyle w:val="3"/>
        <w:tblW w:w="91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1530"/>
        <w:gridCol w:w="6345"/>
      </w:tblGrid>
      <w:tr w14:paraId="6704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70" w:type="dxa"/>
          </w:tcPr>
          <w:p w14:paraId="62D2E1DE">
            <w:pPr>
              <w:widowControl/>
              <w:jc w:val="center"/>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系统功能</w:t>
            </w:r>
          </w:p>
        </w:tc>
        <w:tc>
          <w:tcPr>
            <w:tcW w:w="1530" w:type="dxa"/>
          </w:tcPr>
          <w:p w14:paraId="4F2FE561">
            <w:pPr>
              <w:widowControl/>
              <w:jc w:val="center"/>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功能名称</w:t>
            </w:r>
          </w:p>
        </w:tc>
        <w:tc>
          <w:tcPr>
            <w:tcW w:w="6345" w:type="dxa"/>
          </w:tcPr>
          <w:p w14:paraId="7B7F8B02">
            <w:pPr>
              <w:widowControl/>
              <w:jc w:val="center"/>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功能描述</w:t>
            </w:r>
          </w:p>
        </w:tc>
      </w:tr>
      <w:tr w14:paraId="1BCE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270" w:type="dxa"/>
            <w:vMerge w:val="restart"/>
          </w:tcPr>
          <w:p w14:paraId="58C7B753">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规则库</w:t>
            </w:r>
          </w:p>
        </w:tc>
        <w:tc>
          <w:tcPr>
            <w:tcW w:w="1530" w:type="dxa"/>
            <w:vMerge w:val="restart"/>
          </w:tcPr>
          <w:p w14:paraId="00D0DD46">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规则总览</w:t>
            </w:r>
          </w:p>
        </w:tc>
        <w:tc>
          <w:tcPr>
            <w:tcW w:w="6345" w:type="dxa"/>
          </w:tcPr>
          <w:p w14:paraId="67C56C0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监控规则主要包含医保药品规则、诊疗项目规则、医用材料规则等（根据国家政策及时更新）。</w:t>
            </w:r>
          </w:p>
        </w:tc>
      </w:tr>
      <w:tr w14:paraId="7AD2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5" w:hRule="atLeast"/>
        </w:trPr>
        <w:tc>
          <w:tcPr>
            <w:tcW w:w="1270" w:type="dxa"/>
            <w:vMerge w:val="continue"/>
          </w:tcPr>
          <w:p w14:paraId="1E0FB3D6">
            <w:pPr>
              <w:widowControl/>
              <w:rPr>
                <w:rFonts w:hint="eastAsia" w:ascii="仿宋_GB2312" w:hAnsi="宋体" w:eastAsia="仿宋_GB2312" w:cs="宋体"/>
                <w:color w:val="000000"/>
                <w:kern w:val="0"/>
                <w:sz w:val="28"/>
                <w:szCs w:val="28"/>
              </w:rPr>
            </w:pPr>
          </w:p>
        </w:tc>
        <w:tc>
          <w:tcPr>
            <w:tcW w:w="1530" w:type="dxa"/>
            <w:vMerge w:val="continue"/>
          </w:tcPr>
          <w:p w14:paraId="5B72D31C">
            <w:pPr>
              <w:widowControl/>
              <w:rPr>
                <w:rFonts w:hint="eastAsia" w:ascii="仿宋_GB2312" w:hAnsi="宋体" w:eastAsia="仿宋_GB2312" w:cs="宋体"/>
                <w:color w:val="000000"/>
                <w:kern w:val="0"/>
                <w:sz w:val="28"/>
                <w:szCs w:val="28"/>
              </w:rPr>
            </w:pPr>
          </w:p>
        </w:tc>
        <w:tc>
          <w:tcPr>
            <w:tcW w:w="6345" w:type="dxa"/>
          </w:tcPr>
          <w:p w14:paraId="5F19C61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规则细类设计可以包含但不仅限于以下分类：(1)重复用药;(2)重复收费;(3)不合理转院;(4)不合理入院;(5)药品超量;(6)中药饮片审核;(7)用药安全审核;(8)超临床常规治疗频次;(9)非基本医疗保险目录;(10)限定性别审核;(11)限儿童;(12)超限定数量;(13)超限定价格;(14)限定医院类型级别;(15)限定就医方式;(16)分解住院;(16)超限定频次;(18)违反项目匹配;(19)违反限定适应症(条件)用药;(20)中成药联合使用审核;(21)阶梯用药审核; (22)超限定总额；（23）次要手术收费合理性审核；（24）医用材料与治疗项目不符；（25）住院天数异常；（26）住院费用异常</w:t>
            </w:r>
          </w:p>
        </w:tc>
      </w:tr>
      <w:tr w14:paraId="4348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70" w:type="dxa"/>
          </w:tcPr>
          <w:p w14:paraId="3E04F65D">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事前提醒</w:t>
            </w:r>
          </w:p>
        </w:tc>
        <w:tc>
          <w:tcPr>
            <w:tcW w:w="1530" w:type="dxa"/>
          </w:tcPr>
          <w:p w14:paraId="5F6C3050">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事前预警</w:t>
            </w:r>
          </w:p>
        </w:tc>
        <w:tc>
          <w:tcPr>
            <w:tcW w:w="6345" w:type="dxa"/>
          </w:tcPr>
          <w:p w14:paraId="548667C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在医生开具门诊处方或住院医嘱时，与HIS系统进行数据联通，HIS系统通过接口调用的方式，对于医嘱处方中存在的医保违规行为给予实时的违规预警提醒。</w:t>
            </w:r>
          </w:p>
        </w:tc>
      </w:tr>
      <w:tr w14:paraId="0124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1270" w:type="dxa"/>
            <w:vMerge w:val="restart"/>
          </w:tcPr>
          <w:p w14:paraId="50739F20">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事中监管</w:t>
            </w:r>
          </w:p>
        </w:tc>
        <w:tc>
          <w:tcPr>
            <w:tcW w:w="1530" w:type="dxa"/>
          </w:tcPr>
          <w:p w14:paraId="7EAC7546">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事中监管审核</w:t>
            </w:r>
          </w:p>
        </w:tc>
        <w:tc>
          <w:tcPr>
            <w:tcW w:w="6345" w:type="dxa"/>
          </w:tcPr>
          <w:p w14:paraId="391BF8CA">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针对住院在院病人的监控分析，对患者在院期间收费项目存在的高度可疑违规数据，</w:t>
            </w:r>
            <w:r>
              <w:rPr>
                <w:rFonts w:hint="eastAsia" w:ascii="仿宋_GB2312" w:hAnsi="宋体" w:eastAsia="仿宋_GB2312" w:cs="宋体"/>
                <w:color w:val="FF0000"/>
                <w:kern w:val="0"/>
                <w:sz w:val="28"/>
                <w:szCs w:val="28"/>
              </w:rPr>
              <w:t>支持由医保科人员分配单据下发相关临床科室。</w:t>
            </w:r>
            <w:r>
              <w:rPr>
                <w:rFonts w:hint="eastAsia" w:ascii="仿宋_GB2312" w:hAnsi="宋体" w:eastAsia="仿宋_GB2312" w:cs="宋体"/>
                <w:color w:val="000000"/>
                <w:kern w:val="0"/>
                <w:sz w:val="28"/>
                <w:szCs w:val="28"/>
              </w:rPr>
              <w:t>由科室医生进行确认，减少事后违规的发生；针对出院前病人整体清单数据进行分析，展示该病例所有违规结果。事中监管过程支持日志记录。</w:t>
            </w:r>
          </w:p>
        </w:tc>
      </w:tr>
      <w:tr w14:paraId="5C45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1270" w:type="dxa"/>
            <w:vMerge w:val="continue"/>
          </w:tcPr>
          <w:p w14:paraId="46AE25D0">
            <w:pPr>
              <w:widowControl/>
              <w:jc w:val="center"/>
              <w:rPr>
                <w:rFonts w:hint="eastAsia" w:ascii="仿宋_GB2312" w:hAnsi="宋体" w:eastAsia="仿宋_GB2312" w:cs="宋体"/>
                <w:color w:val="000000"/>
                <w:kern w:val="0"/>
                <w:sz w:val="28"/>
                <w:szCs w:val="28"/>
              </w:rPr>
            </w:pPr>
          </w:p>
        </w:tc>
        <w:tc>
          <w:tcPr>
            <w:tcW w:w="1530" w:type="dxa"/>
          </w:tcPr>
          <w:p w14:paraId="21ED8550">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预出院审核</w:t>
            </w:r>
          </w:p>
        </w:tc>
        <w:tc>
          <w:tcPr>
            <w:tcW w:w="6345" w:type="dxa"/>
          </w:tcPr>
          <w:p w14:paraId="3020255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医院医务人员在办理患者预出院/出院/结算等业务时，针对该患者住院期间所有的医疗费用明细运用智能审核规则进行全量的审核。系统支持临床医师/护士在为病人办理预出院手续时，由HIS系统调用出院预审服务并利用医保报销类规则对当前患者在住院期间产生的所有费用进行全方位审核分析，帮助医师准确定位因诊断信息、医嘱记录等信息不全可能导致的医保费用违规情况。</w:t>
            </w:r>
          </w:p>
        </w:tc>
      </w:tr>
      <w:tr w14:paraId="10C5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70" w:type="dxa"/>
            <w:vMerge w:val="restart"/>
          </w:tcPr>
          <w:p w14:paraId="3733BED7">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事后分析</w:t>
            </w:r>
          </w:p>
        </w:tc>
        <w:tc>
          <w:tcPr>
            <w:tcW w:w="1530" w:type="dxa"/>
          </w:tcPr>
          <w:p w14:paraId="572D1BD7">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专项核查任务</w:t>
            </w:r>
          </w:p>
        </w:tc>
        <w:tc>
          <w:tcPr>
            <w:tcW w:w="6345" w:type="dxa"/>
          </w:tcPr>
          <w:p w14:paraId="7891E9DC">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建立专项核查任务，针对选定的历史区间已经完成结算的病例数据，自定义框选相应审核规则进行回顾性核查，促进医院高效完成各级医保部门下达的回头看及自查分析等任务。</w:t>
            </w:r>
          </w:p>
        </w:tc>
      </w:tr>
      <w:tr w14:paraId="6BD9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70" w:type="dxa"/>
            <w:vMerge w:val="continue"/>
          </w:tcPr>
          <w:p w14:paraId="70B5D853">
            <w:pPr>
              <w:widowControl/>
              <w:rPr>
                <w:rFonts w:hint="eastAsia" w:ascii="仿宋_GB2312" w:hAnsi="宋体" w:eastAsia="仿宋_GB2312" w:cs="宋体"/>
                <w:color w:val="000000"/>
                <w:kern w:val="0"/>
                <w:sz w:val="28"/>
                <w:szCs w:val="28"/>
              </w:rPr>
            </w:pPr>
          </w:p>
        </w:tc>
        <w:tc>
          <w:tcPr>
            <w:tcW w:w="1530" w:type="dxa"/>
          </w:tcPr>
          <w:p w14:paraId="0B38D913">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专项核查结果</w:t>
            </w:r>
          </w:p>
        </w:tc>
        <w:tc>
          <w:tcPr>
            <w:tcW w:w="6345" w:type="dxa"/>
          </w:tcPr>
          <w:p w14:paraId="1EEC5731">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系统提供医保专项核查任务数据分析结果的数据查询和导出。</w:t>
            </w:r>
          </w:p>
        </w:tc>
      </w:tr>
      <w:tr w14:paraId="43B2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270" w:type="dxa"/>
            <w:vMerge w:val="restart"/>
          </w:tcPr>
          <w:p w14:paraId="2B474EFF">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决策支持</w:t>
            </w:r>
          </w:p>
        </w:tc>
        <w:tc>
          <w:tcPr>
            <w:tcW w:w="1530" w:type="dxa"/>
          </w:tcPr>
          <w:p w14:paraId="69AE4B93">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领导驾驶舱页面</w:t>
            </w:r>
          </w:p>
        </w:tc>
        <w:tc>
          <w:tcPr>
            <w:tcW w:w="6345" w:type="dxa"/>
          </w:tcPr>
          <w:p w14:paraId="5E96366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FF0000"/>
                <w:kern w:val="0"/>
                <w:sz w:val="28"/>
                <w:szCs w:val="28"/>
              </w:rPr>
              <w:t>医院医保基金使用情况展示：支持院内医保基金使用情况实时监控数据展示</w:t>
            </w:r>
          </w:p>
        </w:tc>
      </w:tr>
      <w:tr w14:paraId="5AE2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270" w:type="dxa"/>
            <w:vMerge w:val="continue"/>
          </w:tcPr>
          <w:p w14:paraId="43A308D4">
            <w:pPr>
              <w:widowControl/>
              <w:rPr>
                <w:rFonts w:hint="eastAsia" w:ascii="仿宋_GB2312" w:hAnsi="宋体" w:eastAsia="仿宋_GB2312" w:cs="宋体"/>
                <w:color w:val="000000"/>
                <w:kern w:val="0"/>
                <w:sz w:val="28"/>
                <w:szCs w:val="28"/>
              </w:rPr>
            </w:pPr>
          </w:p>
        </w:tc>
        <w:tc>
          <w:tcPr>
            <w:tcW w:w="1530" w:type="dxa"/>
          </w:tcPr>
          <w:p w14:paraId="60969889">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费用明细查询</w:t>
            </w:r>
          </w:p>
        </w:tc>
        <w:tc>
          <w:tcPr>
            <w:tcW w:w="6345" w:type="dxa"/>
          </w:tcPr>
          <w:p w14:paraId="0C66B2B7">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提供多个维度的费用明细查询功能，包括但不限于查询某个科室、医生开具的费用，并可以仅查询存在违规的费用信息。</w:t>
            </w:r>
          </w:p>
        </w:tc>
      </w:tr>
      <w:tr w14:paraId="6CDF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1270" w:type="dxa"/>
            <w:vMerge w:val="restart"/>
          </w:tcPr>
          <w:p w14:paraId="78A10F92">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监管门户</w:t>
            </w:r>
          </w:p>
        </w:tc>
        <w:tc>
          <w:tcPr>
            <w:tcW w:w="1530" w:type="dxa"/>
          </w:tcPr>
          <w:p w14:paraId="55DF4FA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稽核申诉管理</w:t>
            </w:r>
          </w:p>
        </w:tc>
        <w:tc>
          <w:tcPr>
            <w:tcW w:w="6345" w:type="dxa"/>
          </w:tcPr>
          <w:p w14:paraId="0394741B">
            <w:pPr>
              <w:widowControl/>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支持导入局端下发的监管审核异常数据，完成院内可疑违规数据的院内分发与反馈意见收集整理，协助医院向局端反馈，记录反馈过程及日志。</w:t>
            </w:r>
          </w:p>
          <w:p w14:paraId="7300483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auto"/>
                <w:kern w:val="0"/>
                <w:sz w:val="28"/>
                <w:szCs w:val="28"/>
              </w:rPr>
              <w:t>同时支持以下功能：1. 可匹配下发审核信息中，与院内提醒可疑违规信息一致的内容。并展示院内事中过程是否有进行反馈，并匹配当时的反馈信息。 2</w:t>
            </w:r>
            <w:r>
              <w:rPr>
                <w:rFonts w:hint="eastAsia" w:ascii="仿宋_GB2312" w:hAnsi="宋体" w:eastAsia="仿宋_GB2312" w:cs="宋体"/>
                <w:color w:val="000000"/>
                <w:kern w:val="0"/>
                <w:sz w:val="28"/>
                <w:szCs w:val="28"/>
              </w:rPr>
              <w:t>. 支持各种转发过程的日志记录，辅助院内回查。3.可疑违规数据的分发过程，提供了多个维度的智能发放，并可支持权限设定。</w:t>
            </w:r>
          </w:p>
        </w:tc>
      </w:tr>
      <w:tr w14:paraId="2F72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1270" w:type="dxa"/>
            <w:vMerge w:val="continue"/>
          </w:tcPr>
          <w:p w14:paraId="3BDBBD2B">
            <w:pPr>
              <w:widowControl/>
              <w:rPr>
                <w:rFonts w:hint="eastAsia" w:ascii="仿宋_GB2312" w:hAnsi="宋体" w:eastAsia="仿宋_GB2312" w:cs="宋体"/>
                <w:color w:val="000000"/>
                <w:kern w:val="0"/>
                <w:sz w:val="28"/>
                <w:szCs w:val="28"/>
              </w:rPr>
            </w:pPr>
          </w:p>
        </w:tc>
        <w:tc>
          <w:tcPr>
            <w:tcW w:w="1530" w:type="dxa"/>
          </w:tcPr>
          <w:p w14:paraId="77F4EA0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院内反馈</w:t>
            </w:r>
          </w:p>
        </w:tc>
        <w:tc>
          <w:tcPr>
            <w:tcW w:w="6345" w:type="dxa"/>
          </w:tcPr>
          <w:p w14:paraId="09C39685">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提供详细的可疑违规信息待反馈病例的信息，辅助院内各临床科室进行进一步数据检索，并完成可疑违规问题的反馈及附件上传。 可支持后续医保科室等用户进行可疑违规的评审等场景</w:t>
            </w:r>
          </w:p>
        </w:tc>
      </w:tr>
      <w:tr w14:paraId="0043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270" w:type="dxa"/>
            <w:vMerge w:val="restart"/>
          </w:tcPr>
          <w:p w14:paraId="54745446">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医保上传</w:t>
            </w:r>
          </w:p>
        </w:tc>
        <w:tc>
          <w:tcPr>
            <w:tcW w:w="1530" w:type="dxa"/>
          </w:tcPr>
          <w:p w14:paraId="0DD1D92D">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数据上传管理</w:t>
            </w:r>
          </w:p>
        </w:tc>
        <w:tc>
          <w:tcPr>
            <w:tcW w:w="6345" w:type="dxa"/>
          </w:tcPr>
          <w:p w14:paraId="46853B5C">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系统自动归集临床端用户触发的医保事前审核规则的提醒数据及医务人员针对提醒结果的处置操作（如返回修改处方医嘱、强制保存或选择相应理由保存）数据。系统内提供医保事前审核提醒结果的定时上传任务的自定义配置功能。</w:t>
            </w:r>
          </w:p>
        </w:tc>
      </w:tr>
      <w:tr w14:paraId="003A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270" w:type="dxa"/>
            <w:vMerge w:val="continue"/>
          </w:tcPr>
          <w:p w14:paraId="7DF5F5FC">
            <w:pPr>
              <w:widowControl/>
              <w:rPr>
                <w:rFonts w:hint="eastAsia" w:ascii="仿宋_GB2312" w:hAnsi="宋体" w:eastAsia="仿宋_GB2312" w:cs="宋体"/>
                <w:color w:val="000000"/>
                <w:kern w:val="0"/>
                <w:sz w:val="28"/>
                <w:szCs w:val="28"/>
              </w:rPr>
            </w:pPr>
          </w:p>
        </w:tc>
        <w:tc>
          <w:tcPr>
            <w:tcW w:w="1530" w:type="dxa"/>
          </w:tcPr>
          <w:p w14:paraId="5FEAB0BE">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事前监管上传</w:t>
            </w:r>
          </w:p>
        </w:tc>
        <w:tc>
          <w:tcPr>
            <w:tcW w:w="6345" w:type="dxa"/>
          </w:tcPr>
          <w:p w14:paraId="498B4DF4">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系统支持按照江西省医疗保障局对医保智能审核事前提醒数据通过99001接口上传规范要求，提供事前提醒数据上传情况提供及上传状态的查询，并提供医院管理用户进行手动上传操作，医院信息管理人员可查询数据上传状态及日志记录。</w:t>
            </w:r>
          </w:p>
        </w:tc>
      </w:tr>
      <w:tr w14:paraId="705C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70" w:type="dxa"/>
            <w:vMerge w:val="restart"/>
          </w:tcPr>
          <w:p w14:paraId="4C5CD6A2">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系统管理</w:t>
            </w:r>
          </w:p>
        </w:tc>
        <w:tc>
          <w:tcPr>
            <w:tcW w:w="1530" w:type="dxa"/>
          </w:tcPr>
          <w:p w14:paraId="20A2EA75">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规则维护</w:t>
            </w:r>
          </w:p>
        </w:tc>
        <w:tc>
          <w:tcPr>
            <w:tcW w:w="6345" w:type="dxa"/>
          </w:tcPr>
          <w:p w14:paraId="250949AC">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提供规则启用、白名单等操作，规则应用的临床审核业务场配置管理，医院管理人员可以随时在系统前台关闭部分规则，或调整规则的启用场景。</w:t>
            </w:r>
          </w:p>
        </w:tc>
      </w:tr>
      <w:tr w14:paraId="076E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70" w:type="dxa"/>
            <w:vMerge w:val="continue"/>
          </w:tcPr>
          <w:p w14:paraId="24296936">
            <w:pPr>
              <w:widowControl/>
              <w:rPr>
                <w:rFonts w:hint="eastAsia" w:ascii="仿宋_GB2312" w:hAnsi="宋体" w:eastAsia="仿宋_GB2312" w:cs="宋体"/>
                <w:color w:val="000000"/>
                <w:kern w:val="0"/>
                <w:sz w:val="28"/>
                <w:szCs w:val="28"/>
              </w:rPr>
            </w:pPr>
          </w:p>
        </w:tc>
        <w:tc>
          <w:tcPr>
            <w:tcW w:w="1530" w:type="dxa"/>
          </w:tcPr>
          <w:p w14:paraId="63B6030C">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白名单管理</w:t>
            </w:r>
          </w:p>
        </w:tc>
        <w:tc>
          <w:tcPr>
            <w:tcW w:w="6345" w:type="dxa"/>
          </w:tcPr>
          <w:p w14:paraId="589FD9AC">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提供规则的白名单列表，辅助院内及时管理白名单的启用情况</w:t>
            </w:r>
          </w:p>
        </w:tc>
      </w:tr>
      <w:tr w14:paraId="3F72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70" w:type="dxa"/>
            <w:vMerge w:val="restart"/>
          </w:tcPr>
          <w:p w14:paraId="176BD2A6">
            <w:pPr>
              <w:widowControl/>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系统数据集成调度中心</w:t>
            </w:r>
          </w:p>
        </w:tc>
        <w:tc>
          <w:tcPr>
            <w:tcW w:w="1530" w:type="dxa"/>
          </w:tcPr>
          <w:p w14:paraId="1E7CFA8E">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用户管理</w:t>
            </w:r>
          </w:p>
        </w:tc>
        <w:tc>
          <w:tcPr>
            <w:tcW w:w="6345" w:type="dxa"/>
          </w:tcPr>
          <w:p w14:paraId="3BA4E1A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提供系统账号管理页面，并可适配单点登录</w:t>
            </w:r>
          </w:p>
        </w:tc>
      </w:tr>
      <w:tr w14:paraId="6622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70" w:type="dxa"/>
            <w:vMerge w:val="continue"/>
          </w:tcPr>
          <w:p w14:paraId="0FC3E4AD">
            <w:pPr>
              <w:widowControl/>
              <w:rPr>
                <w:rFonts w:hint="eastAsia" w:ascii="仿宋_GB2312" w:hAnsi="宋体" w:eastAsia="仿宋_GB2312" w:cs="宋体"/>
                <w:color w:val="000000"/>
                <w:kern w:val="0"/>
                <w:sz w:val="28"/>
                <w:szCs w:val="28"/>
              </w:rPr>
            </w:pPr>
          </w:p>
        </w:tc>
        <w:tc>
          <w:tcPr>
            <w:tcW w:w="1530" w:type="dxa"/>
          </w:tcPr>
          <w:p w14:paraId="6928833B">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角色管理</w:t>
            </w:r>
          </w:p>
        </w:tc>
        <w:tc>
          <w:tcPr>
            <w:tcW w:w="6345" w:type="dxa"/>
          </w:tcPr>
          <w:p w14:paraId="523F6C16">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设置系统各账号的角色类型定义，以便进行统一的权限管理</w:t>
            </w:r>
          </w:p>
        </w:tc>
      </w:tr>
      <w:tr w14:paraId="43D6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70" w:type="dxa"/>
            <w:vMerge w:val="continue"/>
          </w:tcPr>
          <w:p w14:paraId="641015E3">
            <w:pPr>
              <w:widowControl/>
              <w:rPr>
                <w:rFonts w:hint="eastAsia" w:ascii="仿宋_GB2312" w:hAnsi="宋体" w:eastAsia="仿宋_GB2312" w:cs="宋体"/>
                <w:color w:val="000000"/>
                <w:kern w:val="0"/>
                <w:sz w:val="28"/>
                <w:szCs w:val="28"/>
              </w:rPr>
            </w:pPr>
          </w:p>
        </w:tc>
        <w:tc>
          <w:tcPr>
            <w:tcW w:w="1530" w:type="dxa"/>
          </w:tcPr>
          <w:p w14:paraId="58249C3A">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菜单管理</w:t>
            </w:r>
          </w:p>
        </w:tc>
        <w:tc>
          <w:tcPr>
            <w:tcW w:w="6345" w:type="dxa"/>
          </w:tcPr>
          <w:p w14:paraId="0F8A3317">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设置各类操作用户角色的可使用的系统功能页面。</w:t>
            </w:r>
          </w:p>
        </w:tc>
      </w:tr>
      <w:tr w14:paraId="2ADA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70" w:type="dxa"/>
            <w:vMerge w:val="continue"/>
          </w:tcPr>
          <w:p w14:paraId="249D5BD0">
            <w:pPr>
              <w:widowControl/>
              <w:rPr>
                <w:rFonts w:hint="eastAsia" w:ascii="仿宋_GB2312" w:hAnsi="宋体" w:eastAsia="仿宋_GB2312" w:cs="宋体"/>
                <w:color w:val="000000"/>
                <w:kern w:val="0"/>
                <w:sz w:val="28"/>
                <w:szCs w:val="28"/>
              </w:rPr>
            </w:pPr>
          </w:p>
        </w:tc>
        <w:tc>
          <w:tcPr>
            <w:tcW w:w="1530" w:type="dxa"/>
          </w:tcPr>
          <w:p w14:paraId="43D7FA1A">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科室管理</w:t>
            </w:r>
          </w:p>
        </w:tc>
        <w:tc>
          <w:tcPr>
            <w:tcW w:w="6345" w:type="dxa"/>
          </w:tcPr>
          <w:p w14:paraId="4FA2927C">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提供医院各个临床科室的信息管理（新增、修改、删除）</w:t>
            </w:r>
          </w:p>
        </w:tc>
      </w:tr>
      <w:tr w14:paraId="60F7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270" w:type="dxa"/>
            <w:vMerge w:val="continue"/>
          </w:tcPr>
          <w:p w14:paraId="45CB1D45">
            <w:pPr>
              <w:widowControl/>
              <w:rPr>
                <w:rFonts w:hint="eastAsia" w:ascii="仿宋_GB2312" w:hAnsi="宋体" w:eastAsia="仿宋_GB2312" w:cs="宋体"/>
                <w:color w:val="000000"/>
                <w:kern w:val="0"/>
                <w:sz w:val="28"/>
                <w:szCs w:val="28"/>
              </w:rPr>
            </w:pPr>
          </w:p>
        </w:tc>
        <w:tc>
          <w:tcPr>
            <w:tcW w:w="1530" w:type="dxa"/>
          </w:tcPr>
          <w:p w14:paraId="1C2EC034">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字典管理</w:t>
            </w:r>
          </w:p>
        </w:tc>
        <w:tc>
          <w:tcPr>
            <w:tcW w:w="6345" w:type="dxa"/>
          </w:tcPr>
          <w:p w14:paraId="48904017">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对系统接口地址等核心字典进行设置，以便进行系统调试相关工作</w:t>
            </w:r>
          </w:p>
        </w:tc>
      </w:tr>
      <w:tr w14:paraId="5248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70" w:type="dxa"/>
            <w:vMerge w:val="continue"/>
          </w:tcPr>
          <w:p w14:paraId="0D0D181A">
            <w:pPr>
              <w:widowControl/>
              <w:rPr>
                <w:rFonts w:hint="eastAsia" w:ascii="仿宋_GB2312" w:hAnsi="宋体" w:eastAsia="仿宋_GB2312" w:cs="宋体"/>
                <w:color w:val="000000"/>
                <w:kern w:val="0"/>
                <w:sz w:val="28"/>
                <w:szCs w:val="28"/>
              </w:rPr>
            </w:pPr>
          </w:p>
        </w:tc>
        <w:tc>
          <w:tcPr>
            <w:tcW w:w="1530" w:type="dxa"/>
          </w:tcPr>
          <w:p w14:paraId="4A6264ED">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医生管理</w:t>
            </w:r>
          </w:p>
        </w:tc>
        <w:tc>
          <w:tcPr>
            <w:tcW w:w="6345" w:type="dxa"/>
          </w:tcPr>
          <w:p w14:paraId="3BC6BCE0">
            <w:pPr>
              <w:widowControl/>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管理每个医生与科室的对应关系，可支持一位医生具有多个科室权限。</w:t>
            </w:r>
          </w:p>
        </w:tc>
      </w:tr>
    </w:tbl>
    <w:p w14:paraId="1B466DA3">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jc w:val="left"/>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p>
    <w:p w14:paraId="4AA566B8">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jc w:val="left"/>
        <w:textAlignment w:val="auto"/>
        <w:rPr>
          <w:rFonts w:hint="default"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备注：功能名称各不同厂商叫法不同，满足功能描述要求即可。</w:t>
      </w:r>
    </w:p>
    <w:p w14:paraId="6B64BE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33C900"/>
    <w:multiLevelType w:val="singleLevel"/>
    <w:tmpl w:val="B433C900"/>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B13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2026-08-07T02:11:46Z</dcterms:created>
  <dc:creator>Administrator</dc:creator>
  <cp:lastModifiedBy>李睿</cp:lastModifiedBy>
  <dcterms:modified xsi:type="dcterms:W3CDTF">2026-08-07T02:12:51Z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eyJoZGlkIjoiOWMwN2JlZWExYjlhMTU3MGE4ZjljNWI4MTM1YjAwMjAiLCJ1c2VySWQiOiIyNzc5NjcyMTkifQ==</vt:lpwstr>
  </property>
  <property fmtid="{D5CDD505-2E9C-101B-9397-08002B2CF9AE}" pid="4" name="ICV">
    <vt:lpwstr>B7847F7EBEA64D14B9DE4B3DF3149B41_12</vt:lpwstr>
  </property>
</Properties>
</file>